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601B0" w14:textId="63D0EE06" w:rsidR="009E4F00" w:rsidRPr="009E4F00" w:rsidRDefault="009E4F00" w:rsidP="009E4F00">
      <w:pPr>
        <w:spacing w:before="100" w:beforeAutospacing="1" w:after="100" w:afterAutospacing="1" w:line="240" w:lineRule="auto"/>
        <w:jc w:val="center"/>
        <w:outlineLvl w:val="0"/>
        <w:rPr>
          <w:rFonts w:ascii="Times New Roman" w:eastAsia="Times New Roman" w:hAnsi="Times New Roman" w:cs="Times New Roman"/>
          <w:b/>
          <w:bCs/>
          <w:color w:val="000000"/>
          <w:kern w:val="36"/>
          <w:sz w:val="32"/>
          <w:szCs w:val="32"/>
          <w:lang w:eastAsia="sk-SK"/>
          <w14:ligatures w14:val="none"/>
        </w:rPr>
      </w:pPr>
      <w:r>
        <w:rPr>
          <w:rFonts w:ascii="Times New Roman" w:eastAsia="Times New Roman" w:hAnsi="Times New Roman" w:cs="Times New Roman"/>
          <w:b/>
          <w:bCs/>
          <w:color w:val="000000"/>
          <w:kern w:val="36"/>
          <w:sz w:val="32"/>
          <w:szCs w:val="32"/>
          <w:lang w:eastAsia="sk-SK"/>
          <w14:ligatures w14:val="none"/>
        </w:rPr>
        <w:t>METODICKÝ MATERIÁL</w:t>
      </w:r>
      <w:r w:rsidRPr="009E4F00">
        <w:rPr>
          <w:rFonts w:ascii="Times New Roman" w:eastAsia="Times New Roman" w:hAnsi="Times New Roman" w:cs="Times New Roman"/>
          <w:b/>
          <w:bCs/>
          <w:color w:val="000000"/>
          <w:kern w:val="36"/>
          <w:sz w:val="32"/>
          <w:szCs w:val="32"/>
          <w:lang w:eastAsia="sk-SK"/>
          <w14:ligatures w14:val="none"/>
        </w:rPr>
        <w:t>: Sebapoškodzovanie a suicidálne tendencie u žiakov – ako im predchádzať a reagovať v školskom prostredí</w:t>
      </w:r>
    </w:p>
    <w:p w14:paraId="716BA576" w14:textId="5337C50F" w:rsid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Cieľová skupina:</w:t>
      </w:r>
      <w:r w:rsidRPr="009E4F00">
        <w:rPr>
          <w:rFonts w:ascii="Times New Roman" w:eastAsia="Times New Roman" w:hAnsi="Times New Roman" w:cs="Times New Roman"/>
          <w:color w:val="000000"/>
          <w:kern w:val="0"/>
          <w:lang w:eastAsia="sk-SK"/>
          <w14:ligatures w14:val="none"/>
        </w:rPr>
        <w:t> </w:t>
      </w:r>
      <w:r w:rsidR="005514DA">
        <w:rPr>
          <w:rFonts w:ascii="Times New Roman" w:eastAsia="Times New Roman" w:hAnsi="Times New Roman" w:cs="Times New Roman"/>
          <w:color w:val="000000"/>
          <w:kern w:val="0"/>
          <w:lang w:eastAsia="sk-SK"/>
          <w14:ligatures w14:val="none"/>
        </w:rPr>
        <w:t>u</w:t>
      </w:r>
      <w:r w:rsidRPr="009E4F00">
        <w:rPr>
          <w:rFonts w:ascii="Times New Roman" w:eastAsia="Times New Roman" w:hAnsi="Times New Roman" w:cs="Times New Roman"/>
          <w:color w:val="000000"/>
          <w:kern w:val="0"/>
          <w:lang w:eastAsia="sk-SK"/>
          <w14:ligatures w14:val="none"/>
        </w:rPr>
        <w:t>čitelia základných a stredných škôl, pedagogickí asistenti a školské podporné tímy.</w:t>
      </w:r>
    </w:p>
    <w:p w14:paraId="296D3814" w14:textId="77777777" w:rsidR="009E4F00" w:rsidRPr="009E4F00" w:rsidRDefault="009E4F00" w:rsidP="009E4F00">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lang w:eastAsia="sk-SK"/>
          <w14:ligatures w14:val="none"/>
        </w:rPr>
      </w:pPr>
      <w:r w:rsidRPr="009E4F00">
        <w:rPr>
          <w:rFonts w:ascii="Times New Roman" w:eastAsia="Times New Roman" w:hAnsi="Times New Roman" w:cs="Times New Roman"/>
          <w:b/>
          <w:bCs/>
          <w:color w:val="000000"/>
          <w:kern w:val="0"/>
          <w:sz w:val="32"/>
          <w:szCs w:val="32"/>
          <w:lang w:eastAsia="sk-SK"/>
          <w14:ligatures w14:val="none"/>
        </w:rPr>
        <w:t>1. Úvod a teoretické vymedzenie problému</w:t>
      </w:r>
    </w:p>
    <w:p w14:paraId="5E0D0EC9"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Obdobie dospievania (10/12 – 18/21 rokov) predstavuje náročnú vývinovú fázu spojenú s prudkými fyziologickými, kognitívnymi a psychosociálnymi zmenami (Lazarus &amp; Folkman, 1984). Dospievajúci žiaci sa často dostávajú do záťažových situácií, ktoré pramenia z krízy identity a sebaobrazu, neistoty vo vlastnom vzhľade či osobnostnom smerovaní, ako aj z nárokov na autonómiu a separáciu od rodiny (Joiner, 2005). Spoločne s tlakom vrstovníkov (peer pressure), strachom zo sociálneho odmietnutia, náročnými prvými partnerskými vzťahmi a digitálnou záťažou či kyberšikanou (FOMO) vzniká vysoké riziko vzniku internalizovaných ťažkostí (Beck, 2011).</w:t>
      </w:r>
    </w:p>
    <w:p w14:paraId="35FD25B6"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Akonáhle žiak nedisponuje dostatočnými adaptívnymi kapacitami na zvládanie nahromadeného stresu, môžu sa rozvinúť depresívne stavy, úzkostné poruchy či panické záchvaty (Beck, 2011). Pri absencii adaptívnych copingových stratégií potom žiaci siahu po neadaptívnych mechanizmoch regulácie emócií, medzi ktoré patrí neúčelné samopoškodzovanie, suicidalita a suicidálne myšlienky (Walsh, 2012).</w:t>
      </w:r>
    </w:p>
    <w:p w14:paraId="4B9C9826" w14:textId="77777777" w:rsidR="009E4F00" w:rsidRPr="009E4F00" w:rsidRDefault="009E4F00" w:rsidP="009E4F00">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lang w:eastAsia="sk-SK"/>
          <w14:ligatures w14:val="none"/>
        </w:rPr>
      </w:pPr>
      <w:r w:rsidRPr="009E4F00">
        <w:rPr>
          <w:rFonts w:ascii="Times New Roman" w:eastAsia="Times New Roman" w:hAnsi="Times New Roman" w:cs="Times New Roman"/>
          <w:b/>
          <w:bCs/>
          <w:color w:val="000000"/>
          <w:kern w:val="0"/>
          <w:sz w:val="32"/>
          <w:szCs w:val="32"/>
          <w:lang w:eastAsia="sk-SK"/>
          <w14:ligatures w14:val="none"/>
        </w:rPr>
        <w:t>2. Varovné signály (Red Flags) u žiaka</w:t>
      </w:r>
    </w:p>
    <w:p w14:paraId="5185CC42"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Učitelia sú v dennom kontakte so žiakmi, a preto zohrávajú kľúčovú úlohu pri včasnej detekcii psychického preťaženia a rizika autoagresívneho správania (Walsh, 2012). Medzi hlavné varovné signály patrí:</w:t>
      </w:r>
    </w:p>
    <w:p w14:paraId="14F9F3BE" w14:textId="77777777" w:rsidR="009E4F00" w:rsidRPr="009E4F00" w:rsidRDefault="009E4F00" w:rsidP="009E4F0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Zmeny v školskom výkone:</w:t>
      </w:r>
      <w:r w:rsidRPr="009E4F00">
        <w:rPr>
          <w:rFonts w:ascii="Times New Roman" w:eastAsia="Times New Roman" w:hAnsi="Times New Roman" w:cs="Times New Roman"/>
          <w:color w:val="000000"/>
          <w:kern w:val="0"/>
          <w:lang w:eastAsia="sk-SK"/>
          <w14:ligatures w14:val="none"/>
        </w:rPr>
        <w:t> Zaznamenanie náhleho a výrazného poklesu školskej výkonnosti, straty motivácie a apatie voči povinnostiam (Joiner, 2005).</w:t>
      </w:r>
    </w:p>
    <w:p w14:paraId="54088BDA" w14:textId="77777777" w:rsidR="009E4F00" w:rsidRPr="009E4F00" w:rsidRDefault="009E4F00" w:rsidP="009E4F0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Somatizácia stresu:</w:t>
      </w:r>
      <w:r w:rsidRPr="009E4F00">
        <w:rPr>
          <w:rFonts w:ascii="Times New Roman" w:eastAsia="Times New Roman" w:hAnsi="Times New Roman" w:cs="Times New Roman"/>
          <w:color w:val="000000"/>
          <w:kern w:val="0"/>
          <w:lang w:eastAsia="sk-SK"/>
          <w14:ligatures w14:val="none"/>
        </w:rPr>
        <w:t> Časté sťažnosti na somatické ťažkosti bez organickej príčiny, ako sú opakujúce sa bolesti brucha či hlavy (Beck, 2011).</w:t>
      </w:r>
    </w:p>
    <w:p w14:paraId="66E9FD24" w14:textId="77777777" w:rsidR="009E4F00" w:rsidRPr="009E4F00" w:rsidRDefault="009E4F00" w:rsidP="009E4F0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Zmeny v dochádzke a správaní:</w:t>
      </w:r>
      <w:r w:rsidRPr="009E4F00">
        <w:rPr>
          <w:rFonts w:ascii="Times New Roman" w:eastAsia="Times New Roman" w:hAnsi="Times New Roman" w:cs="Times New Roman"/>
          <w:color w:val="000000"/>
          <w:kern w:val="0"/>
          <w:lang w:eastAsia="sk-SK"/>
          <w14:ligatures w14:val="none"/>
        </w:rPr>
        <w:t> Nárast záškoláctva, vyhýbanie sa vyučovaniu alebo náhle stiahnutie sa do seba (Walsh, 2012).</w:t>
      </w:r>
    </w:p>
    <w:p w14:paraId="39A12AD7" w14:textId="77777777" w:rsidR="009E4F00" w:rsidRPr="009E4F00" w:rsidRDefault="009E4F00" w:rsidP="009E4F0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Sociálna izolácia:</w:t>
      </w:r>
      <w:r w:rsidRPr="009E4F00">
        <w:rPr>
          <w:rFonts w:ascii="Times New Roman" w:eastAsia="Times New Roman" w:hAnsi="Times New Roman" w:cs="Times New Roman"/>
          <w:color w:val="000000"/>
          <w:kern w:val="0"/>
          <w:lang w:eastAsia="sk-SK"/>
          <w14:ligatures w14:val="none"/>
        </w:rPr>
        <w:t> Strata záujmu o vrstovnícke vzťahy, vyčlenenie sa zo skupiny a narušenie sociálnych kontaktov (Joiner, 2005).</w:t>
      </w:r>
    </w:p>
    <w:p w14:paraId="76F54EFF" w14:textId="77777777" w:rsidR="009E4F00" w:rsidRPr="009E4F00" w:rsidRDefault="009E4F00" w:rsidP="009E4F0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Zmeny vo fyziológii a nálade:</w:t>
      </w:r>
      <w:r w:rsidRPr="009E4F00">
        <w:rPr>
          <w:rFonts w:ascii="Times New Roman" w:eastAsia="Times New Roman" w:hAnsi="Times New Roman" w:cs="Times New Roman"/>
          <w:color w:val="000000"/>
          <w:kern w:val="0"/>
          <w:lang w:eastAsia="sk-SK"/>
          <w14:ligatures w14:val="none"/>
        </w:rPr>
        <w:t> Výrazné výkyvy v spánkovom režime, viditeľná únavnosť a náhle zmeny v emocionálnej reaktivite (Beck, 2011).</w:t>
      </w:r>
    </w:p>
    <w:p w14:paraId="3BE4851F" w14:textId="77777777" w:rsidR="009E4F00" w:rsidRPr="009E4F00" w:rsidRDefault="009E4F00" w:rsidP="009E4F00">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lang w:eastAsia="sk-SK"/>
          <w14:ligatures w14:val="none"/>
        </w:rPr>
      </w:pPr>
      <w:r w:rsidRPr="009E4F00">
        <w:rPr>
          <w:rFonts w:ascii="Times New Roman" w:eastAsia="Times New Roman" w:hAnsi="Times New Roman" w:cs="Times New Roman"/>
          <w:b/>
          <w:bCs/>
          <w:color w:val="000000"/>
          <w:kern w:val="0"/>
          <w:sz w:val="32"/>
          <w:szCs w:val="32"/>
          <w:lang w:eastAsia="sk-SK"/>
          <w14:ligatures w14:val="none"/>
        </w:rPr>
        <w:t>3. Postup pedagóga pri prvej pomoci a krízovej intervencii</w:t>
      </w:r>
    </w:p>
    <w:p w14:paraId="48D3D319"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3.1 Zabezpečenie bezpečnosti a prioritizácia zamedzenia zraneniu</w:t>
      </w:r>
    </w:p>
    <w:p w14:paraId="015641F3"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lastRenderedPageBreak/>
        <w:t>V momente akútneho rizika alebo prebiehajúceho sebapoškodzovania je hlavnou prioritou učiteľa zaistenie bezpečnosti žiaka i okolia a okamžité zamedzenie ďalšiemu zraneniu (Walsh, 2012).</w:t>
      </w:r>
    </w:p>
    <w:p w14:paraId="652CAEEA"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3.2 Emocionálna koregulácia dospelým</w:t>
      </w:r>
    </w:p>
    <w:p w14:paraId="7E3F2437"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Keď žiak prežíva masívnu emočnú záťaž, jeho vlastná schopnosť samoregulácie zlyháva (Bailey, 2015). Pedagóg vtedy vystupuje ako stabilná kotva, pričom poskytuje svoju „požičanú“ nervovú sústavu prostredníctvom pokojného hlasu, neutrálnej reči tela a zníženia postavy na úroveň očí žiaka (Bailey, 2015).</w:t>
      </w:r>
    </w:p>
    <w:p w14:paraId="575D5C26"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3.3 Minimalizácia verbálneho vstupu počas afektu</w:t>
      </w:r>
    </w:p>
    <w:p w14:paraId="33A4F58C"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Počas najvyššieho emočného napätia (arousalu) je potrebné vyhýbať sa dlhým vysvetľovaniam či moralizovaniu (Bailey, 2015). Učiteľ používa výhradne heslovité, jasné pokyny alebo gestá a rešpektuje potrebu žiaka na čas a priestor na regeneráciu bez vynucovania okamžitého výkonu či trestania (Bailey, 2015).</w:t>
      </w:r>
    </w:p>
    <w:p w14:paraId="5A6CCA3C"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3.4 Validácia emócií a prijatie bez posudzovania</w:t>
      </w:r>
    </w:p>
    <w:p w14:paraId="1A97397D"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Učiteľ pomenováva prežívanie žiaka bez hodnotenia či spochybňovania (napr. </w:t>
      </w:r>
      <w:r w:rsidRPr="009E4F00">
        <w:rPr>
          <w:rFonts w:ascii="Times New Roman" w:eastAsia="Times New Roman" w:hAnsi="Times New Roman" w:cs="Times New Roman"/>
          <w:i/>
          <w:iCs/>
          <w:color w:val="000000"/>
          <w:kern w:val="0"/>
          <w:lang w:eastAsia="sk-SK"/>
          <w14:ligatures w14:val="none"/>
        </w:rPr>
        <w:t>„Vidím, že prežívaš veľkú bolesť a je to pre teba náročné“</w:t>
      </w:r>
      <w:r w:rsidRPr="009E4F00">
        <w:rPr>
          <w:rFonts w:ascii="Times New Roman" w:eastAsia="Times New Roman" w:hAnsi="Times New Roman" w:cs="Times New Roman"/>
          <w:color w:val="000000"/>
          <w:kern w:val="0"/>
          <w:lang w:eastAsia="sk-SK"/>
          <w14:ligatures w14:val="none"/>
        </w:rPr>
        <w:t>) (Bailey, 2015). Prijatie emócií však neznamená schvaľovanie nebezpečného správania, ale vyjadrenie bezvýhradnej akceptácie človeka (Bailey, 2015).</w:t>
      </w:r>
    </w:p>
    <w:p w14:paraId="36853425"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3.5 Hranice dôvernosti (Informačná povinnosť)</w:t>
      </w:r>
    </w:p>
    <w:p w14:paraId="2F2E5113"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Pri individuálnom rozhovore so žiakom je nevyhnutné hneď v úvode odovzdať žiakovi kontrolu a transparentne vymedziť hranice dôvernosti (Walsh, 2012). Rozhovor zostáva dôverný, avšak pri priamom ohrození života alebo zdravia (suicidálne riziko, závažné samopoškodzovanie) má pedagóg etickú a zákonnú povinnosť bezodkladne informovať školského psychológa, vedenie školy a rodičov (Walsh, 2012).</w:t>
      </w:r>
    </w:p>
    <w:p w14:paraId="1EE91361"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3.6 Odkaz na odbornú podpornú sieť</w:t>
      </w:r>
    </w:p>
    <w:p w14:paraId="6E994308"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color w:val="000000"/>
          <w:kern w:val="0"/>
          <w:lang w:eastAsia="sk-SK"/>
          <w14:ligatures w14:val="none"/>
        </w:rPr>
        <w:t>Pedagóg sprostredkuje žiakovi kontakty na anonymnú aj priamu odbornú pomoc, napríklad na školského psychológa, Centrum poradenstva a prevencie (CPP) alebo špecializované linky dôvery (Walsh, 2012).</w:t>
      </w:r>
    </w:p>
    <w:p w14:paraId="08AD7F19" w14:textId="77777777" w:rsidR="009E4F00" w:rsidRPr="009E4F00" w:rsidRDefault="009E4F00" w:rsidP="009E4F00">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lang w:eastAsia="sk-SK"/>
          <w14:ligatures w14:val="none"/>
        </w:rPr>
      </w:pPr>
      <w:r w:rsidRPr="009E4F00">
        <w:rPr>
          <w:rFonts w:ascii="Times New Roman" w:eastAsia="Times New Roman" w:hAnsi="Times New Roman" w:cs="Times New Roman"/>
          <w:b/>
          <w:bCs/>
          <w:color w:val="000000"/>
          <w:kern w:val="0"/>
          <w:sz w:val="32"/>
          <w:szCs w:val="32"/>
          <w:lang w:eastAsia="sk-SK"/>
          <w14:ligatures w14:val="none"/>
        </w:rPr>
        <w:t>4. Metodické bloky a prevencia v triednom kolektíve</w:t>
      </w:r>
    </w:p>
    <w:p w14:paraId="02F198DC"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Blok 1: Diagnostika záťaže – Model „Semafor záťaže“</w:t>
      </w:r>
    </w:p>
    <w:p w14:paraId="0981DAEF"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Cieľ:</w:t>
      </w:r>
      <w:r w:rsidRPr="009E4F00">
        <w:rPr>
          <w:rFonts w:ascii="Times New Roman" w:eastAsia="Times New Roman" w:hAnsi="Times New Roman" w:cs="Times New Roman"/>
          <w:color w:val="000000"/>
          <w:kern w:val="0"/>
          <w:lang w:eastAsia="sk-SK"/>
          <w14:ligatures w14:val="none"/>
        </w:rPr>
        <w:t> Umožniť žiakom aj učiteľom včas identifikovať narastajúce vnútorné napätie skôr, než vyústi do skratkového správania (Beck, 2011).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9"/>
        <w:gridCol w:w="3078"/>
        <w:gridCol w:w="4905"/>
      </w:tblGrid>
      <w:tr w:rsidR="009E4F00" w:rsidRPr="009E4F00" w14:paraId="19450986" w14:textId="77777777">
        <w:trPr>
          <w:tblHeader/>
          <w:tblCellSpacing w:w="15" w:type="dxa"/>
        </w:trPr>
        <w:tc>
          <w:tcPr>
            <w:tcW w:w="0" w:type="auto"/>
            <w:vAlign w:val="center"/>
            <w:hideMark/>
          </w:tcPr>
          <w:p w14:paraId="55B8C057" w14:textId="77777777" w:rsidR="009E4F00" w:rsidRPr="009E4F00" w:rsidRDefault="009E4F00" w:rsidP="009E4F00">
            <w:pPr>
              <w:spacing w:after="0" w:line="240" w:lineRule="auto"/>
              <w:jc w:val="center"/>
              <w:rPr>
                <w:rFonts w:ascii="Times New Roman" w:eastAsia="Times New Roman" w:hAnsi="Times New Roman" w:cs="Times New Roman"/>
                <w:b/>
                <w:bCs/>
                <w:kern w:val="0"/>
                <w:lang w:eastAsia="sk-SK"/>
                <w14:ligatures w14:val="none"/>
              </w:rPr>
            </w:pPr>
            <w:r w:rsidRPr="009E4F00">
              <w:rPr>
                <w:rFonts w:ascii="Times New Roman" w:eastAsia="Times New Roman" w:hAnsi="Times New Roman" w:cs="Times New Roman"/>
                <w:b/>
                <w:bCs/>
                <w:kern w:val="0"/>
                <w:lang w:eastAsia="sk-SK"/>
                <w14:ligatures w14:val="none"/>
              </w:rPr>
              <w:lastRenderedPageBreak/>
              <w:t>Zóna</w:t>
            </w:r>
          </w:p>
        </w:tc>
        <w:tc>
          <w:tcPr>
            <w:tcW w:w="0" w:type="auto"/>
            <w:vAlign w:val="center"/>
            <w:hideMark/>
          </w:tcPr>
          <w:p w14:paraId="2BB7BF4F" w14:textId="77777777" w:rsidR="009E4F00" w:rsidRPr="009E4F00" w:rsidRDefault="009E4F00" w:rsidP="009E4F00">
            <w:pPr>
              <w:spacing w:after="0" w:line="240" w:lineRule="auto"/>
              <w:jc w:val="center"/>
              <w:rPr>
                <w:rFonts w:ascii="Times New Roman" w:eastAsia="Times New Roman" w:hAnsi="Times New Roman" w:cs="Times New Roman"/>
                <w:b/>
                <w:bCs/>
                <w:kern w:val="0"/>
                <w:lang w:eastAsia="sk-SK"/>
                <w14:ligatures w14:val="none"/>
              </w:rPr>
            </w:pPr>
            <w:r w:rsidRPr="009E4F00">
              <w:rPr>
                <w:rFonts w:ascii="Times New Roman" w:eastAsia="Times New Roman" w:hAnsi="Times New Roman" w:cs="Times New Roman"/>
                <w:b/>
                <w:bCs/>
                <w:kern w:val="0"/>
                <w:lang w:eastAsia="sk-SK"/>
                <w14:ligatures w14:val="none"/>
              </w:rPr>
              <w:t>Prejavy u žiaka</w:t>
            </w:r>
          </w:p>
        </w:tc>
        <w:tc>
          <w:tcPr>
            <w:tcW w:w="0" w:type="auto"/>
            <w:vAlign w:val="center"/>
            <w:hideMark/>
          </w:tcPr>
          <w:p w14:paraId="433311F7" w14:textId="77777777" w:rsidR="009E4F00" w:rsidRPr="009E4F00" w:rsidRDefault="009E4F00" w:rsidP="009E4F00">
            <w:pPr>
              <w:spacing w:after="0" w:line="240" w:lineRule="auto"/>
              <w:jc w:val="center"/>
              <w:rPr>
                <w:rFonts w:ascii="Times New Roman" w:eastAsia="Times New Roman" w:hAnsi="Times New Roman" w:cs="Times New Roman"/>
                <w:b/>
                <w:bCs/>
                <w:kern w:val="0"/>
                <w:lang w:eastAsia="sk-SK"/>
                <w14:ligatures w14:val="none"/>
              </w:rPr>
            </w:pPr>
            <w:r w:rsidRPr="009E4F00">
              <w:rPr>
                <w:rFonts w:ascii="Times New Roman" w:eastAsia="Times New Roman" w:hAnsi="Times New Roman" w:cs="Times New Roman"/>
                <w:b/>
                <w:bCs/>
                <w:kern w:val="0"/>
                <w:lang w:eastAsia="sk-SK"/>
                <w14:ligatures w14:val="none"/>
              </w:rPr>
              <w:t>Reakcia učiteľa / Preventívny krok</w:t>
            </w:r>
          </w:p>
        </w:tc>
      </w:tr>
      <w:tr w:rsidR="009E4F00" w:rsidRPr="009E4F00" w14:paraId="7766E6B9" w14:textId="77777777">
        <w:trPr>
          <w:tblCellSpacing w:w="15" w:type="dxa"/>
        </w:trPr>
        <w:tc>
          <w:tcPr>
            <w:tcW w:w="0" w:type="auto"/>
            <w:vAlign w:val="center"/>
            <w:hideMark/>
          </w:tcPr>
          <w:p w14:paraId="088B1686" w14:textId="77777777" w:rsidR="009E4F00" w:rsidRPr="009E4F00" w:rsidRDefault="009E4F00" w:rsidP="009E4F00">
            <w:pPr>
              <w:spacing w:after="0"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b/>
                <w:bCs/>
                <w:kern w:val="0"/>
                <w:lang w:eastAsia="sk-SK"/>
                <w14:ligatures w14:val="none"/>
              </w:rPr>
              <w:t>Zelená</w:t>
            </w:r>
          </w:p>
        </w:tc>
        <w:tc>
          <w:tcPr>
            <w:tcW w:w="0" w:type="auto"/>
            <w:vAlign w:val="center"/>
            <w:hideMark/>
          </w:tcPr>
          <w:p w14:paraId="5AEBD909"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kern w:val="0"/>
                <w:lang w:eastAsia="sk-SK"/>
                <w14:ligatures w14:val="none"/>
              </w:rPr>
              <w:t>Bežný režim, zvládanie povinností bez výkyvov.</w:t>
            </w:r>
          </w:p>
        </w:tc>
        <w:tc>
          <w:tcPr>
            <w:tcW w:w="0" w:type="auto"/>
            <w:vAlign w:val="center"/>
            <w:hideMark/>
          </w:tcPr>
          <w:p w14:paraId="24F21D9D"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kern w:val="0"/>
                <w:lang w:eastAsia="sk-SK"/>
                <w14:ligatures w14:val="none"/>
              </w:rPr>
              <w:t>Udržiavanie stabilného prostredia, podpora kooperácie.</w:t>
            </w:r>
          </w:p>
        </w:tc>
      </w:tr>
      <w:tr w:rsidR="009E4F00" w:rsidRPr="009E4F00" w14:paraId="190F0914" w14:textId="77777777">
        <w:trPr>
          <w:tblCellSpacing w:w="15" w:type="dxa"/>
        </w:trPr>
        <w:tc>
          <w:tcPr>
            <w:tcW w:w="0" w:type="auto"/>
            <w:vAlign w:val="center"/>
            <w:hideMark/>
          </w:tcPr>
          <w:p w14:paraId="41AE4D7B" w14:textId="77777777" w:rsidR="009E4F00" w:rsidRPr="009E4F00" w:rsidRDefault="009E4F00" w:rsidP="009E4F00">
            <w:pPr>
              <w:spacing w:after="0"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b/>
                <w:bCs/>
                <w:kern w:val="0"/>
                <w:lang w:eastAsia="sk-SK"/>
                <w14:ligatures w14:val="none"/>
              </w:rPr>
              <w:t>Oranžová</w:t>
            </w:r>
          </w:p>
        </w:tc>
        <w:tc>
          <w:tcPr>
            <w:tcW w:w="0" w:type="auto"/>
            <w:vAlign w:val="center"/>
            <w:hideMark/>
          </w:tcPr>
          <w:p w14:paraId="56DF2E57"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kern w:val="0"/>
                <w:lang w:eastAsia="sk-SK"/>
                <w14:ligatures w14:val="none"/>
              </w:rPr>
              <w:t>Zvýšený tlak, prvé telesné signály napätia, nepokoj.</w:t>
            </w:r>
          </w:p>
        </w:tc>
        <w:tc>
          <w:tcPr>
            <w:tcW w:w="0" w:type="auto"/>
            <w:vAlign w:val="center"/>
            <w:hideMark/>
          </w:tcPr>
          <w:p w14:paraId="4B01A475"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b/>
                <w:bCs/>
                <w:kern w:val="0"/>
                <w:lang w:eastAsia="sk-SK"/>
                <w14:ligatures w14:val="none"/>
              </w:rPr>
              <w:t>Prevenčná pauza:</w:t>
            </w:r>
            <w:r w:rsidRPr="009E4F00">
              <w:rPr>
                <w:rFonts w:ascii="Times New Roman" w:eastAsia="Times New Roman" w:hAnsi="Times New Roman" w:cs="Times New Roman"/>
                <w:kern w:val="0"/>
                <w:lang w:eastAsia="sk-SK"/>
                <w14:ligatures w14:val="none"/>
              </w:rPr>
              <w:t> Vsunutie dychového či somatického cvičenia.</w:t>
            </w:r>
          </w:p>
        </w:tc>
      </w:tr>
      <w:tr w:rsidR="009E4F00" w:rsidRPr="009E4F00" w14:paraId="4ABE06A9" w14:textId="77777777">
        <w:trPr>
          <w:tblCellSpacing w:w="15" w:type="dxa"/>
        </w:trPr>
        <w:tc>
          <w:tcPr>
            <w:tcW w:w="0" w:type="auto"/>
            <w:vAlign w:val="center"/>
            <w:hideMark/>
          </w:tcPr>
          <w:p w14:paraId="70DBFF4E" w14:textId="77777777" w:rsidR="009E4F00" w:rsidRPr="009E4F00" w:rsidRDefault="009E4F00" w:rsidP="009E4F00">
            <w:pPr>
              <w:spacing w:after="0"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b/>
                <w:bCs/>
                <w:kern w:val="0"/>
                <w:lang w:eastAsia="sk-SK"/>
                <w14:ligatures w14:val="none"/>
              </w:rPr>
              <w:t>Červená</w:t>
            </w:r>
          </w:p>
        </w:tc>
        <w:tc>
          <w:tcPr>
            <w:tcW w:w="0" w:type="auto"/>
            <w:vAlign w:val="center"/>
            <w:hideMark/>
          </w:tcPr>
          <w:p w14:paraId="42DE58A2"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kern w:val="0"/>
                <w:lang w:eastAsia="sk-SK"/>
                <w14:ligatures w14:val="none"/>
              </w:rPr>
              <w:t>Akútne preťaženie, afekt, apatia, riziko autoagresie.</w:t>
            </w:r>
          </w:p>
        </w:tc>
        <w:tc>
          <w:tcPr>
            <w:tcW w:w="0" w:type="auto"/>
            <w:vAlign w:val="center"/>
            <w:hideMark/>
          </w:tcPr>
          <w:p w14:paraId="66FB1E15"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kern w:val="0"/>
                <w:lang w:eastAsia="sk-SK"/>
                <w14:ligatures w14:val="none"/>
              </w:rPr>
            </w:pPr>
            <w:r w:rsidRPr="009E4F00">
              <w:rPr>
                <w:rFonts w:ascii="Times New Roman" w:eastAsia="Times New Roman" w:hAnsi="Times New Roman" w:cs="Times New Roman"/>
                <w:b/>
                <w:bCs/>
                <w:kern w:val="0"/>
                <w:lang w:eastAsia="sk-SK"/>
                <w14:ligatures w14:val="none"/>
              </w:rPr>
              <w:t>Deeskalácia a zaistenie bezpečia:</w:t>
            </w:r>
            <w:r w:rsidRPr="009E4F00">
              <w:rPr>
                <w:rFonts w:ascii="Times New Roman" w:eastAsia="Times New Roman" w:hAnsi="Times New Roman" w:cs="Times New Roman"/>
                <w:kern w:val="0"/>
                <w:lang w:eastAsia="sk-SK"/>
                <w14:ligatures w14:val="none"/>
              </w:rPr>
              <w:t> Minimalizácia pokynov, odborná pomoc.</w:t>
            </w:r>
          </w:p>
        </w:tc>
      </w:tr>
    </w:tbl>
    <w:p w14:paraId="771264F9" w14:textId="77777777" w:rsidR="009E4F00" w:rsidRPr="009E4F00" w:rsidRDefault="009E4F00" w:rsidP="009E4F00">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sk-SK"/>
          <w14:ligatures w14:val="none"/>
        </w:rPr>
      </w:pPr>
      <w:r w:rsidRPr="009E4F00">
        <w:rPr>
          <w:rFonts w:ascii="Times New Roman" w:eastAsia="Times New Roman" w:hAnsi="Times New Roman" w:cs="Times New Roman"/>
          <w:b/>
          <w:bCs/>
          <w:color w:val="000000"/>
          <w:kern w:val="0"/>
          <w:sz w:val="27"/>
          <w:szCs w:val="27"/>
          <w:lang w:eastAsia="sk-SK"/>
          <w14:ligatures w14:val="none"/>
        </w:rPr>
        <w:t>Blok 2: Kognitívne a somatické techniky regulácie napätia</w:t>
      </w:r>
    </w:p>
    <w:p w14:paraId="17B88DA9" w14:textId="77777777" w:rsidR="009E4F00" w:rsidRPr="009E4F00" w:rsidRDefault="009E4F00" w:rsidP="009E4F0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Kognitívna reštrukturalizácia (CBT):</w:t>
      </w:r>
      <w:r w:rsidRPr="009E4F00">
        <w:rPr>
          <w:rFonts w:ascii="Times New Roman" w:eastAsia="Times New Roman" w:hAnsi="Times New Roman" w:cs="Times New Roman"/>
          <w:color w:val="000000"/>
          <w:kern w:val="0"/>
          <w:lang w:eastAsia="sk-SK"/>
          <w14:ligatures w14:val="none"/>
        </w:rPr>
        <w:t> Práca s kognitívnymi omylmi a katastrofickými scenármi, spochybňovanie nereálnych obáv a dôsledné oddeľovanie ľudskej hodnoty žiaka od jeho aktuálneho školského výkonu (Beck, 2011).</w:t>
      </w:r>
    </w:p>
    <w:p w14:paraId="1E1F40C6" w14:textId="77777777" w:rsidR="009E4F00" w:rsidRPr="009E4F00" w:rsidRDefault="009E4F00" w:rsidP="009E4F0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Technika Grounding (5-4-3-2-1):</w:t>
      </w:r>
      <w:r w:rsidRPr="009E4F00">
        <w:rPr>
          <w:rFonts w:ascii="Times New Roman" w:eastAsia="Times New Roman" w:hAnsi="Times New Roman" w:cs="Times New Roman"/>
          <w:color w:val="000000"/>
          <w:kern w:val="0"/>
          <w:lang w:eastAsia="sk-SK"/>
          <w14:ligatures w14:val="none"/>
        </w:rPr>
        <w:t> Zmyslové ukotvenie v prítomnom okamihu na potlačenie akútnej úzkosti a panického záchvatu (Beck, 2011).</w:t>
      </w:r>
    </w:p>
    <w:p w14:paraId="30049E22" w14:textId="77777777" w:rsidR="009E4F00" w:rsidRPr="009E4F00" w:rsidRDefault="009E4F00" w:rsidP="009E4F0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Dychové cvičenia:</w:t>
      </w:r>
      <w:r w:rsidRPr="009E4F00">
        <w:rPr>
          <w:rFonts w:ascii="Times New Roman" w:eastAsia="Times New Roman" w:hAnsi="Times New Roman" w:cs="Times New Roman"/>
          <w:color w:val="000000"/>
          <w:kern w:val="0"/>
          <w:lang w:eastAsia="sk-SK"/>
          <w14:ligatures w14:val="none"/>
        </w:rPr>
        <w:t> Využitie krabicového dýchania (Box Breathing: 4 s nádych – 4 s pauza – 4 s výdych – 4 s pauza) alebo techniky 4-7-8 na fyziologické zníženie tepovej frekvencie a uvoľnenie napätia (Beck, 2011).</w:t>
      </w:r>
    </w:p>
    <w:p w14:paraId="3C334CA7" w14:textId="77777777" w:rsidR="009E4F00" w:rsidRDefault="009E4F00" w:rsidP="009E4F0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t>Progresívna svalová relaxácia (Jacobson):</w:t>
      </w:r>
      <w:r w:rsidRPr="009E4F00">
        <w:rPr>
          <w:rFonts w:ascii="Times New Roman" w:eastAsia="Times New Roman" w:hAnsi="Times New Roman" w:cs="Times New Roman"/>
          <w:color w:val="000000"/>
          <w:kern w:val="0"/>
          <w:lang w:eastAsia="sk-SK"/>
          <w14:ligatures w14:val="none"/>
        </w:rPr>
        <w:t> Striedavé napínanie a uvoľňovanie svalových skupín na redukciu nahromadeného somatického stresu (Beck, 2011).</w:t>
      </w:r>
    </w:p>
    <w:p w14:paraId="663A7413" w14:textId="77777777" w:rsidR="0019774A" w:rsidRDefault="0019774A" w:rsidP="0019774A">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p>
    <w:p w14:paraId="71110C31" w14:textId="7C38286C" w:rsidR="0019774A" w:rsidRPr="005601DF" w:rsidRDefault="0019774A" w:rsidP="0019774A">
      <w:pPr>
        <w:pStyle w:val="Odsekzoznamu"/>
        <w:spacing w:before="100" w:beforeAutospacing="1" w:after="100" w:afterAutospacing="1" w:line="240" w:lineRule="auto"/>
        <w:ind w:left="6384"/>
        <w:rPr>
          <w:rFonts w:ascii="Times New Roman" w:eastAsia="Times New Roman" w:hAnsi="Times New Roman" w:cs="Times New Roman"/>
          <w:color w:val="000000"/>
          <w:lang w:eastAsia="sk-SK"/>
        </w:rPr>
      </w:pPr>
      <w:r w:rsidRPr="005601DF">
        <w:rPr>
          <w:rFonts w:ascii="Times New Roman" w:eastAsia="Times New Roman" w:hAnsi="Times New Roman" w:cs="Times New Roman"/>
          <w:color w:val="000000"/>
          <w:lang w:eastAsia="sk-SK"/>
        </w:rPr>
        <w:t xml:space="preserve">Spracovala </w:t>
      </w:r>
      <w:r>
        <w:rPr>
          <w:rFonts w:ascii="Times New Roman" w:eastAsia="Times New Roman" w:hAnsi="Times New Roman" w:cs="Times New Roman"/>
          <w:color w:val="000000"/>
          <w:lang w:eastAsia="sk-SK"/>
        </w:rPr>
        <w:t>07.07</w:t>
      </w:r>
      <w:r w:rsidRPr="005601DF">
        <w:rPr>
          <w:rFonts w:ascii="Times New Roman" w:eastAsia="Times New Roman" w:hAnsi="Times New Roman" w:cs="Times New Roman"/>
          <w:color w:val="000000"/>
          <w:lang w:eastAsia="sk-SK"/>
        </w:rPr>
        <w:t xml:space="preserve">.2026 </w:t>
      </w:r>
    </w:p>
    <w:p w14:paraId="360DB9C6" w14:textId="77777777" w:rsidR="0019774A" w:rsidRDefault="0019774A" w:rsidP="0019774A">
      <w:pPr>
        <w:spacing w:before="100" w:beforeAutospacing="1" w:after="100" w:afterAutospacing="1" w:line="240" w:lineRule="auto"/>
        <w:ind w:left="5664" w:firstLine="708"/>
        <w:jc w:val="both"/>
        <w:rPr>
          <w:rFonts w:ascii="Times New Roman" w:eastAsia="Times New Roman" w:hAnsi="Times New Roman" w:cs="Times New Roman"/>
          <w:color w:val="000000"/>
          <w:lang w:eastAsia="sk-SK"/>
        </w:rPr>
      </w:pPr>
      <w:r>
        <w:rPr>
          <w:rFonts w:ascii="Times New Roman" w:eastAsia="Times New Roman" w:hAnsi="Times New Roman" w:cs="Times New Roman"/>
          <w:color w:val="000000"/>
          <w:lang w:eastAsia="sk-SK"/>
        </w:rPr>
        <w:t xml:space="preserve">Mgr. Miroslava Adamová </w:t>
      </w:r>
    </w:p>
    <w:p w14:paraId="479CB214" w14:textId="77777777" w:rsidR="0019774A" w:rsidRDefault="0019774A" w:rsidP="0019774A">
      <w:pPr>
        <w:spacing w:before="100" w:beforeAutospacing="1" w:after="100" w:afterAutospacing="1" w:line="240" w:lineRule="auto"/>
        <w:jc w:val="both"/>
        <w:rPr>
          <w:rFonts w:ascii="Times New Roman" w:eastAsia="Times New Roman" w:hAnsi="Times New Roman" w:cs="Times New Roman"/>
          <w:color w:val="000000"/>
          <w:lang w:eastAsia="sk-SK"/>
        </w:rPr>
      </w:pPr>
      <w:r w:rsidRPr="005601DF">
        <w:rPr>
          <w:rFonts w:ascii="Times New Roman" w:eastAsia="Times New Roman" w:hAnsi="Times New Roman" w:cs="Times New Roman"/>
          <w:color w:val="000000"/>
          <w:lang w:eastAsia="sk-SK"/>
        </w:rPr>
        <w:t xml:space="preserve">   </w:t>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Pr>
          <w:rFonts w:ascii="Times New Roman" w:eastAsia="Times New Roman" w:hAnsi="Times New Roman" w:cs="Times New Roman"/>
          <w:color w:val="000000"/>
          <w:lang w:eastAsia="sk-SK"/>
        </w:rPr>
        <w:tab/>
      </w:r>
      <w:r w:rsidRPr="005601DF">
        <w:rPr>
          <w:rFonts w:ascii="Times New Roman" w:eastAsia="Times New Roman" w:hAnsi="Times New Roman" w:cs="Times New Roman"/>
          <w:color w:val="000000"/>
          <w:lang w:eastAsia="sk-SK"/>
        </w:rPr>
        <w:t xml:space="preserve"> </w:t>
      </w:r>
      <w:r>
        <w:rPr>
          <w:rFonts w:ascii="Times New Roman" w:eastAsia="Times New Roman" w:hAnsi="Times New Roman" w:cs="Times New Roman"/>
          <w:color w:val="000000"/>
          <w:lang w:eastAsia="sk-SK"/>
        </w:rPr>
        <w:t>Psychologička</w:t>
      </w:r>
    </w:p>
    <w:p w14:paraId="40F0CDB9" w14:textId="77777777" w:rsidR="0019774A" w:rsidRPr="009E4F00" w:rsidRDefault="0019774A" w:rsidP="0019774A">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p>
    <w:p w14:paraId="1C820163"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25C014AC"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120D9A7C"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36B941EC"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5EE5E136"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288D33FC"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1FD85817"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3AEF5CED"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496ED93D" w14:textId="77777777" w:rsidR="0019774A" w:rsidRDefault="0019774A"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p>
    <w:p w14:paraId="17107564" w14:textId="3C90E3EF" w:rsidR="009E4F00" w:rsidRPr="009E4F00" w:rsidRDefault="009E4F00" w:rsidP="009E4F00">
      <w:pPr>
        <w:spacing w:before="100" w:beforeAutospacing="1" w:after="100" w:afterAutospacing="1" w:line="240" w:lineRule="auto"/>
        <w:outlineLvl w:val="1"/>
        <w:rPr>
          <w:rFonts w:ascii="Times New Roman" w:eastAsia="Times New Roman" w:hAnsi="Times New Roman" w:cs="Times New Roman"/>
          <w:b/>
          <w:bCs/>
          <w:color w:val="000000"/>
          <w:kern w:val="0"/>
          <w:lang w:eastAsia="sk-SK"/>
          <w14:ligatures w14:val="none"/>
        </w:rPr>
      </w:pPr>
      <w:r w:rsidRPr="009E4F00">
        <w:rPr>
          <w:rFonts w:ascii="Times New Roman" w:eastAsia="Times New Roman" w:hAnsi="Times New Roman" w:cs="Times New Roman"/>
          <w:b/>
          <w:bCs/>
          <w:color w:val="000000"/>
          <w:kern w:val="0"/>
          <w:lang w:eastAsia="sk-SK"/>
          <w14:ligatures w14:val="none"/>
        </w:rPr>
        <w:lastRenderedPageBreak/>
        <w:t>5. Zoznam použitej literatúry (Bibliografia)</w:t>
      </w:r>
    </w:p>
    <w:p w14:paraId="6D74452F" w14:textId="6E850A7D" w:rsidR="009E4F00" w:rsidRPr="009E4F00" w:rsidRDefault="00BF44FC" w:rsidP="00065886">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Pr>
          <w:rFonts w:ascii="Times New Roman" w:eastAsia="Times New Roman" w:hAnsi="Times New Roman" w:cs="Times New Roman"/>
          <w:color w:val="000000"/>
          <w:kern w:val="0"/>
          <w:lang w:eastAsia="sk-SK"/>
          <w14:ligatures w14:val="none"/>
        </w:rPr>
        <w:t xml:space="preserve">1. </w:t>
      </w:r>
      <w:r w:rsidR="009E4F00" w:rsidRPr="009E4F00">
        <w:rPr>
          <w:rFonts w:ascii="Times New Roman" w:eastAsia="Times New Roman" w:hAnsi="Times New Roman" w:cs="Times New Roman"/>
          <w:color w:val="000000"/>
          <w:kern w:val="0"/>
          <w:lang w:eastAsia="sk-SK"/>
          <w14:ligatures w14:val="none"/>
        </w:rPr>
        <w:t>Bailey, B. A. (2015). </w:t>
      </w:r>
      <w:r w:rsidR="009E4F00" w:rsidRPr="009E4F00">
        <w:rPr>
          <w:rFonts w:ascii="Times New Roman" w:eastAsia="Times New Roman" w:hAnsi="Times New Roman" w:cs="Times New Roman"/>
          <w:i/>
          <w:iCs/>
          <w:color w:val="000000"/>
          <w:kern w:val="0"/>
          <w:lang w:eastAsia="sk-SK"/>
          <w14:ligatures w14:val="none"/>
        </w:rPr>
        <w:t>Conscious discipline: Building resilient classrooms</w:t>
      </w:r>
      <w:r w:rsidR="009E4F00" w:rsidRPr="009E4F00">
        <w:rPr>
          <w:rFonts w:ascii="Times New Roman" w:eastAsia="Times New Roman" w:hAnsi="Times New Roman" w:cs="Times New Roman"/>
          <w:color w:val="000000"/>
          <w:kern w:val="0"/>
          <w:lang w:eastAsia="sk-SK"/>
          <w14:ligatures w14:val="none"/>
        </w:rPr>
        <w:t>. Loving Guidance.</w:t>
      </w:r>
    </w:p>
    <w:p w14:paraId="208EFD55" w14:textId="448E7753" w:rsidR="009E4F00" w:rsidRPr="009E4F00" w:rsidRDefault="00BF44FC" w:rsidP="00065886">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Pr>
          <w:rFonts w:ascii="Times New Roman" w:eastAsia="Times New Roman" w:hAnsi="Times New Roman" w:cs="Times New Roman"/>
          <w:color w:val="000000"/>
          <w:kern w:val="0"/>
          <w:lang w:eastAsia="sk-SK"/>
          <w14:ligatures w14:val="none"/>
        </w:rPr>
        <w:t xml:space="preserve">2. </w:t>
      </w:r>
      <w:r w:rsidR="009E4F00" w:rsidRPr="009E4F00">
        <w:rPr>
          <w:rFonts w:ascii="Times New Roman" w:eastAsia="Times New Roman" w:hAnsi="Times New Roman" w:cs="Times New Roman"/>
          <w:color w:val="000000"/>
          <w:kern w:val="0"/>
          <w:lang w:eastAsia="sk-SK"/>
          <w14:ligatures w14:val="none"/>
        </w:rPr>
        <w:t>Beck, A. T. (2011). </w:t>
      </w:r>
      <w:r w:rsidR="009E4F00" w:rsidRPr="009E4F00">
        <w:rPr>
          <w:rFonts w:ascii="Times New Roman" w:eastAsia="Times New Roman" w:hAnsi="Times New Roman" w:cs="Times New Roman"/>
          <w:i/>
          <w:iCs/>
          <w:color w:val="000000"/>
          <w:kern w:val="0"/>
          <w:lang w:eastAsia="sk-SK"/>
          <w14:ligatures w14:val="none"/>
        </w:rPr>
        <w:t>Cognitive behavior therapy: Basics and beyond</w:t>
      </w:r>
      <w:r w:rsidR="009E4F00" w:rsidRPr="009E4F00">
        <w:rPr>
          <w:rFonts w:ascii="Times New Roman" w:eastAsia="Times New Roman" w:hAnsi="Times New Roman" w:cs="Times New Roman"/>
          <w:color w:val="000000"/>
          <w:kern w:val="0"/>
          <w:lang w:eastAsia="sk-SK"/>
          <w14:ligatures w14:val="none"/>
        </w:rPr>
        <w:t> (2. vyd.). Guilford Press.</w:t>
      </w:r>
    </w:p>
    <w:p w14:paraId="289976E1" w14:textId="3D6B3185" w:rsidR="009E4F00" w:rsidRPr="009E4F00" w:rsidRDefault="00BF44FC" w:rsidP="00065886">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Pr>
          <w:rFonts w:ascii="Times New Roman" w:eastAsia="Times New Roman" w:hAnsi="Times New Roman" w:cs="Times New Roman"/>
          <w:color w:val="000000"/>
          <w:kern w:val="0"/>
          <w:lang w:eastAsia="sk-SK"/>
          <w14:ligatures w14:val="none"/>
        </w:rPr>
        <w:t xml:space="preserve">3. </w:t>
      </w:r>
      <w:r w:rsidR="00065886">
        <w:rPr>
          <w:rFonts w:ascii="Times New Roman" w:eastAsia="Times New Roman" w:hAnsi="Times New Roman" w:cs="Times New Roman"/>
          <w:color w:val="000000"/>
          <w:kern w:val="0"/>
          <w:lang w:eastAsia="sk-SK"/>
          <w14:ligatures w14:val="none"/>
        </w:rPr>
        <w:t>J</w:t>
      </w:r>
      <w:r w:rsidR="009E4F00" w:rsidRPr="009E4F00">
        <w:rPr>
          <w:rFonts w:ascii="Times New Roman" w:eastAsia="Times New Roman" w:hAnsi="Times New Roman" w:cs="Times New Roman"/>
          <w:color w:val="000000"/>
          <w:kern w:val="0"/>
          <w:lang w:eastAsia="sk-SK"/>
          <w14:ligatures w14:val="none"/>
        </w:rPr>
        <w:t>oiner, T. E. (2005). </w:t>
      </w:r>
      <w:r w:rsidR="009E4F00" w:rsidRPr="009E4F00">
        <w:rPr>
          <w:rFonts w:ascii="Times New Roman" w:eastAsia="Times New Roman" w:hAnsi="Times New Roman" w:cs="Times New Roman"/>
          <w:i/>
          <w:iCs/>
          <w:color w:val="000000"/>
          <w:kern w:val="0"/>
          <w:lang w:eastAsia="sk-SK"/>
          <w14:ligatures w14:val="none"/>
        </w:rPr>
        <w:t>Why people die by suicide</w:t>
      </w:r>
      <w:r w:rsidR="009E4F00" w:rsidRPr="009E4F00">
        <w:rPr>
          <w:rFonts w:ascii="Times New Roman" w:eastAsia="Times New Roman" w:hAnsi="Times New Roman" w:cs="Times New Roman"/>
          <w:color w:val="000000"/>
          <w:kern w:val="0"/>
          <w:lang w:eastAsia="sk-SK"/>
          <w14:ligatures w14:val="none"/>
        </w:rPr>
        <w:t>. Harvard University Press.</w:t>
      </w:r>
    </w:p>
    <w:p w14:paraId="227256C7" w14:textId="5842C638" w:rsidR="009E4F00" w:rsidRPr="009E4F00" w:rsidRDefault="00BF44FC" w:rsidP="00065886">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Pr>
          <w:rFonts w:ascii="Times New Roman" w:eastAsia="Times New Roman" w:hAnsi="Times New Roman" w:cs="Times New Roman"/>
          <w:color w:val="000000"/>
          <w:kern w:val="0"/>
          <w:lang w:eastAsia="sk-SK"/>
          <w14:ligatures w14:val="none"/>
        </w:rPr>
        <w:t xml:space="preserve">4. </w:t>
      </w:r>
      <w:r w:rsidR="009E4F00" w:rsidRPr="009E4F00">
        <w:rPr>
          <w:rFonts w:ascii="Times New Roman" w:eastAsia="Times New Roman" w:hAnsi="Times New Roman" w:cs="Times New Roman"/>
          <w:color w:val="000000"/>
          <w:kern w:val="0"/>
          <w:lang w:eastAsia="sk-SK"/>
          <w14:ligatures w14:val="none"/>
        </w:rPr>
        <w:t>Lazarus, R. S., &amp; Folkman, S. (1984). </w:t>
      </w:r>
      <w:r w:rsidR="009E4F00" w:rsidRPr="009E4F00">
        <w:rPr>
          <w:rFonts w:ascii="Times New Roman" w:eastAsia="Times New Roman" w:hAnsi="Times New Roman" w:cs="Times New Roman"/>
          <w:i/>
          <w:iCs/>
          <w:color w:val="000000"/>
          <w:kern w:val="0"/>
          <w:lang w:eastAsia="sk-SK"/>
          <w14:ligatures w14:val="none"/>
        </w:rPr>
        <w:t>Stress, appraisal, and coping</w:t>
      </w:r>
      <w:r w:rsidR="009E4F00" w:rsidRPr="009E4F00">
        <w:rPr>
          <w:rFonts w:ascii="Times New Roman" w:eastAsia="Times New Roman" w:hAnsi="Times New Roman" w:cs="Times New Roman"/>
          <w:color w:val="000000"/>
          <w:kern w:val="0"/>
          <w:lang w:eastAsia="sk-SK"/>
          <w14:ligatures w14:val="none"/>
        </w:rPr>
        <w:t>. Springer Publishing Company.</w:t>
      </w:r>
    </w:p>
    <w:p w14:paraId="1777DD3F" w14:textId="3859BC6B" w:rsidR="009E4F00" w:rsidRPr="009E4F00" w:rsidRDefault="00BF44FC" w:rsidP="00065886">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r>
        <w:rPr>
          <w:rFonts w:ascii="Times New Roman" w:eastAsia="Times New Roman" w:hAnsi="Times New Roman" w:cs="Times New Roman"/>
          <w:color w:val="000000"/>
          <w:kern w:val="0"/>
          <w:lang w:eastAsia="sk-SK"/>
          <w14:ligatures w14:val="none"/>
        </w:rPr>
        <w:t xml:space="preserve">5. </w:t>
      </w:r>
      <w:r w:rsidR="009E4F00" w:rsidRPr="009E4F00">
        <w:rPr>
          <w:rFonts w:ascii="Times New Roman" w:eastAsia="Times New Roman" w:hAnsi="Times New Roman" w:cs="Times New Roman"/>
          <w:color w:val="000000"/>
          <w:kern w:val="0"/>
          <w:lang w:eastAsia="sk-SK"/>
          <w14:ligatures w14:val="none"/>
        </w:rPr>
        <w:t>Walsh, B. W. (2012). </w:t>
      </w:r>
      <w:r w:rsidR="009E4F00" w:rsidRPr="009E4F00">
        <w:rPr>
          <w:rFonts w:ascii="Times New Roman" w:eastAsia="Times New Roman" w:hAnsi="Times New Roman" w:cs="Times New Roman"/>
          <w:i/>
          <w:iCs/>
          <w:color w:val="000000"/>
          <w:kern w:val="0"/>
          <w:lang w:eastAsia="sk-SK"/>
          <w14:ligatures w14:val="none"/>
        </w:rPr>
        <w:t>Treating self-injury: A practical guide</w:t>
      </w:r>
      <w:r w:rsidR="009E4F00" w:rsidRPr="009E4F00">
        <w:rPr>
          <w:rFonts w:ascii="Times New Roman" w:eastAsia="Times New Roman" w:hAnsi="Times New Roman" w:cs="Times New Roman"/>
          <w:color w:val="000000"/>
          <w:kern w:val="0"/>
          <w:lang w:eastAsia="sk-SK"/>
          <w14:ligatures w14:val="none"/>
        </w:rPr>
        <w:t> (2. vyd.). Guilford Press.</w:t>
      </w:r>
    </w:p>
    <w:p w14:paraId="7D903C5B" w14:textId="77777777" w:rsidR="009E4F00" w:rsidRPr="009E4F00" w:rsidRDefault="009E4F00" w:rsidP="009E4F00">
      <w:pPr>
        <w:spacing w:before="100" w:beforeAutospacing="1" w:after="100" w:afterAutospacing="1" w:line="240" w:lineRule="auto"/>
        <w:rPr>
          <w:rFonts w:ascii="Times New Roman" w:eastAsia="Times New Roman" w:hAnsi="Times New Roman" w:cs="Times New Roman"/>
          <w:color w:val="000000"/>
          <w:kern w:val="0"/>
          <w:lang w:eastAsia="sk-SK"/>
          <w14:ligatures w14:val="none"/>
        </w:rPr>
      </w:pPr>
    </w:p>
    <w:p w14:paraId="45D6F1D0" w14:textId="77777777" w:rsidR="00D341EA" w:rsidRPr="009E4F00" w:rsidRDefault="00D341EA" w:rsidP="009E4F00">
      <w:pPr>
        <w:jc w:val="both"/>
        <w:rPr>
          <w:rFonts w:ascii="Times New Roman" w:hAnsi="Times New Roman" w:cs="Times New Roman"/>
        </w:rPr>
      </w:pPr>
    </w:p>
    <w:sectPr w:rsidR="00D341EA" w:rsidRPr="009E4F00" w:rsidSect="009E4F00">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38021" w14:textId="77777777" w:rsidR="009E18B1" w:rsidRDefault="009E18B1" w:rsidP="009E4F00">
      <w:pPr>
        <w:spacing w:after="0" w:line="240" w:lineRule="auto"/>
      </w:pPr>
      <w:r>
        <w:separator/>
      </w:r>
    </w:p>
  </w:endnote>
  <w:endnote w:type="continuationSeparator" w:id="0">
    <w:p w14:paraId="3E97096B" w14:textId="77777777" w:rsidR="009E18B1" w:rsidRDefault="009E18B1" w:rsidP="009E4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95F75" w14:textId="77777777" w:rsidR="009E18B1" w:rsidRDefault="009E18B1" w:rsidP="009E4F00">
      <w:pPr>
        <w:spacing w:after="0" w:line="240" w:lineRule="auto"/>
      </w:pPr>
      <w:r>
        <w:separator/>
      </w:r>
    </w:p>
  </w:footnote>
  <w:footnote w:type="continuationSeparator" w:id="0">
    <w:p w14:paraId="65D48390" w14:textId="77777777" w:rsidR="009E18B1" w:rsidRDefault="009E18B1" w:rsidP="009E4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412B" w14:textId="77777777" w:rsidR="009E4F00" w:rsidRDefault="009E4F00" w:rsidP="009E4F00">
    <w:pPr>
      <w:pStyle w:val="Standard"/>
      <w:spacing w:after="0"/>
      <w:jc w:val="center"/>
      <w:rPr>
        <w:rFonts w:ascii="Times New Roman" w:hAnsi="Times New Roman"/>
        <w:b/>
        <w:sz w:val="24"/>
        <w:szCs w:val="24"/>
      </w:rPr>
    </w:pPr>
    <w:r>
      <w:rPr>
        <w:rFonts w:ascii="Times New Roman" w:hAnsi="Times New Roman"/>
        <w:b/>
        <w:sz w:val="24"/>
        <w:szCs w:val="24"/>
      </w:rPr>
      <w:t>Súkromné centrum poradenstva a prevencie</w:t>
    </w:r>
  </w:p>
  <w:p w14:paraId="09EFB690" w14:textId="77777777" w:rsidR="009E4F00" w:rsidRDefault="009E4F00" w:rsidP="009E4F00">
    <w:pPr>
      <w:pStyle w:val="Standard"/>
      <w:spacing w:after="0"/>
      <w:jc w:val="center"/>
      <w:rPr>
        <w:rFonts w:ascii="Times New Roman" w:hAnsi="Times New Roman"/>
        <w:b/>
        <w:sz w:val="24"/>
        <w:szCs w:val="24"/>
      </w:rPr>
    </w:pPr>
    <w:r>
      <w:rPr>
        <w:rFonts w:ascii="Times New Roman" w:hAnsi="Times New Roman"/>
        <w:b/>
        <w:sz w:val="24"/>
        <w:szCs w:val="24"/>
      </w:rPr>
      <w:t xml:space="preserve"> Továrenská 1635/2, 071 01 Michalovce</w:t>
    </w:r>
  </w:p>
  <w:p w14:paraId="4C3B5EAB" w14:textId="77777777" w:rsidR="009E4F00" w:rsidRDefault="009E4F00" w:rsidP="009E4F00">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Tel.: 0908 600 179, 0917 400 516</w:t>
    </w:r>
  </w:p>
  <w:p w14:paraId="1CABB458" w14:textId="77777777" w:rsidR="009E4F00" w:rsidRDefault="009E4F00" w:rsidP="009E4F00">
    <w:pPr>
      <w:pStyle w:val="Standard"/>
      <w:pBdr>
        <w:bottom w:val="single" w:sz="4" w:space="1" w:color="000000"/>
      </w:pBdr>
      <w:spacing w:after="0"/>
      <w:jc w:val="center"/>
      <w:rPr>
        <w:rFonts w:ascii="Times New Roman" w:hAnsi="Times New Roman"/>
        <w:b/>
        <w:sz w:val="24"/>
        <w:szCs w:val="24"/>
      </w:rPr>
    </w:pPr>
    <w:r>
      <w:rPr>
        <w:rFonts w:ascii="Times New Roman" w:hAnsi="Times New Roman"/>
        <w:b/>
        <w:sz w:val="24"/>
        <w:szCs w:val="24"/>
      </w:rPr>
      <w:t>Email: scspporadenstva@gmail.com</w:t>
    </w:r>
  </w:p>
  <w:p w14:paraId="743D1836" w14:textId="77777777" w:rsidR="009E4F00" w:rsidRDefault="009E4F0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53F6"/>
    <w:multiLevelType w:val="multilevel"/>
    <w:tmpl w:val="93C6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E0913"/>
    <w:multiLevelType w:val="multilevel"/>
    <w:tmpl w:val="7F0A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824580"/>
    <w:multiLevelType w:val="multilevel"/>
    <w:tmpl w:val="E474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F00"/>
    <w:rsid w:val="00065886"/>
    <w:rsid w:val="0019774A"/>
    <w:rsid w:val="002809E1"/>
    <w:rsid w:val="004003D9"/>
    <w:rsid w:val="00517A26"/>
    <w:rsid w:val="005514DA"/>
    <w:rsid w:val="00590721"/>
    <w:rsid w:val="007B080E"/>
    <w:rsid w:val="009E18B1"/>
    <w:rsid w:val="009E4F00"/>
    <w:rsid w:val="00BF44FC"/>
    <w:rsid w:val="00BF70C3"/>
    <w:rsid w:val="00D341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BAE92"/>
  <w15:chartTrackingRefBased/>
  <w15:docId w15:val="{6246A72E-DE08-2C48-8E77-DBDF5F37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E4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unhideWhenUsed/>
    <w:qFormat/>
    <w:rsid w:val="009E4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unhideWhenUsed/>
    <w:qFormat/>
    <w:rsid w:val="009E4F0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E4F0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E4F0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E4F0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E4F0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E4F0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E4F0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E4F0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rsid w:val="009E4F0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rsid w:val="009E4F0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E4F0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E4F0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E4F0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E4F0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E4F0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E4F00"/>
    <w:rPr>
      <w:rFonts w:eastAsiaTheme="majorEastAsia" w:cstheme="majorBidi"/>
      <w:color w:val="272727" w:themeColor="text1" w:themeTint="D8"/>
    </w:rPr>
  </w:style>
  <w:style w:type="paragraph" w:styleId="Nzov">
    <w:name w:val="Title"/>
    <w:basedOn w:val="Normlny"/>
    <w:next w:val="Normlny"/>
    <w:link w:val="NzovChar"/>
    <w:uiPriority w:val="10"/>
    <w:qFormat/>
    <w:rsid w:val="009E4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E4F0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E4F0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E4F0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E4F0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E4F00"/>
    <w:rPr>
      <w:i/>
      <w:iCs/>
      <w:color w:val="404040" w:themeColor="text1" w:themeTint="BF"/>
    </w:rPr>
  </w:style>
  <w:style w:type="paragraph" w:styleId="Odsekzoznamu">
    <w:name w:val="List Paragraph"/>
    <w:basedOn w:val="Normlny"/>
    <w:uiPriority w:val="34"/>
    <w:qFormat/>
    <w:rsid w:val="009E4F00"/>
    <w:pPr>
      <w:ind w:left="720"/>
      <w:contextualSpacing/>
    </w:pPr>
  </w:style>
  <w:style w:type="character" w:styleId="Intenzvnezvraznenie">
    <w:name w:val="Intense Emphasis"/>
    <w:basedOn w:val="Predvolenpsmoodseku"/>
    <w:uiPriority w:val="21"/>
    <w:qFormat/>
    <w:rsid w:val="009E4F00"/>
    <w:rPr>
      <w:i/>
      <w:iCs/>
      <w:color w:val="0F4761" w:themeColor="accent1" w:themeShade="BF"/>
    </w:rPr>
  </w:style>
  <w:style w:type="paragraph" w:styleId="Zvraznencitcia">
    <w:name w:val="Intense Quote"/>
    <w:basedOn w:val="Normlny"/>
    <w:next w:val="Normlny"/>
    <w:link w:val="ZvraznencitciaChar"/>
    <w:uiPriority w:val="30"/>
    <w:qFormat/>
    <w:rsid w:val="009E4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E4F00"/>
    <w:rPr>
      <w:i/>
      <w:iCs/>
      <w:color w:val="0F4761" w:themeColor="accent1" w:themeShade="BF"/>
    </w:rPr>
  </w:style>
  <w:style w:type="character" w:styleId="Zvraznenodkaz">
    <w:name w:val="Intense Reference"/>
    <w:basedOn w:val="Predvolenpsmoodseku"/>
    <w:uiPriority w:val="32"/>
    <w:qFormat/>
    <w:rsid w:val="009E4F00"/>
    <w:rPr>
      <w:b/>
      <w:bCs/>
      <w:smallCaps/>
      <w:color w:val="0F4761" w:themeColor="accent1" w:themeShade="BF"/>
      <w:spacing w:val="5"/>
    </w:rPr>
  </w:style>
  <w:style w:type="paragraph" w:styleId="Hlavika">
    <w:name w:val="header"/>
    <w:basedOn w:val="Normlny"/>
    <w:link w:val="HlavikaChar"/>
    <w:uiPriority w:val="99"/>
    <w:unhideWhenUsed/>
    <w:rsid w:val="009E4F0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E4F00"/>
  </w:style>
  <w:style w:type="paragraph" w:styleId="Pta">
    <w:name w:val="footer"/>
    <w:basedOn w:val="Normlny"/>
    <w:link w:val="PtaChar"/>
    <w:uiPriority w:val="99"/>
    <w:unhideWhenUsed/>
    <w:rsid w:val="009E4F00"/>
    <w:pPr>
      <w:tabs>
        <w:tab w:val="center" w:pos="4536"/>
        <w:tab w:val="right" w:pos="9072"/>
      </w:tabs>
      <w:spacing w:after="0" w:line="240" w:lineRule="auto"/>
    </w:pPr>
  </w:style>
  <w:style w:type="character" w:customStyle="1" w:styleId="PtaChar">
    <w:name w:val="Päta Char"/>
    <w:basedOn w:val="Predvolenpsmoodseku"/>
    <w:link w:val="Pta"/>
    <w:uiPriority w:val="99"/>
    <w:rsid w:val="009E4F00"/>
  </w:style>
  <w:style w:type="paragraph" w:customStyle="1" w:styleId="Standard">
    <w:name w:val="Standard"/>
    <w:rsid w:val="009E4F00"/>
    <w:pPr>
      <w:suppressAutoHyphens/>
      <w:autoSpaceDN w:val="0"/>
      <w:spacing w:after="200" w:line="276" w:lineRule="auto"/>
    </w:pPr>
    <w:rPr>
      <w:rFonts w:ascii="Calibri" w:eastAsia="Calibri" w:hAnsi="Calibri" w:cs="Times New Roman"/>
      <w:kern w:val="3"/>
      <w:sz w:val="22"/>
      <w:szCs w:val="22"/>
      <w:lang w:eastAsia="zh-CN"/>
      <w14:ligatures w14:val="none"/>
    </w:rPr>
  </w:style>
  <w:style w:type="paragraph" w:styleId="Normlnywebov">
    <w:name w:val="Normal (Web)"/>
    <w:basedOn w:val="Normlny"/>
    <w:uiPriority w:val="99"/>
    <w:semiHidden/>
    <w:unhideWhenUsed/>
    <w:rsid w:val="009E4F00"/>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character" w:customStyle="1" w:styleId="apple-converted-space">
    <w:name w:val="apple-converted-space"/>
    <w:basedOn w:val="Predvolenpsmoodseku"/>
    <w:rsid w:val="009E4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Adamová</dc:creator>
  <cp:keywords/>
  <dc:description/>
  <cp:lastModifiedBy>PC</cp:lastModifiedBy>
  <cp:revision>7</cp:revision>
  <dcterms:created xsi:type="dcterms:W3CDTF">2026-09-20T09:35:00Z</dcterms:created>
  <dcterms:modified xsi:type="dcterms:W3CDTF">2026-09-21T05:48:00Z</dcterms:modified>
</cp:coreProperties>
</file>